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6725" w14:textId="6EB2063D" w:rsidR="00EC34CB" w:rsidRPr="00625D8E" w:rsidRDefault="00EC34CB" w:rsidP="00EC34C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25D8E">
        <w:rPr>
          <w:bCs/>
          <w:noProof w:val="0"/>
          <w:sz w:val="24"/>
          <w:szCs w:val="24"/>
        </w:rPr>
        <w:t>3GPP TSG-RAN WG2 Meeting #132</w:t>
      </w:r>
      <w:r w:rsidRPr="00625D8E">
        <w:rPr>
          <w:bCs/>
          <w:noProof w:val="0"/>
          <w:sz w:val="24"/>
          <w:szCs w:val="24"/>
        </w:rPr>
        <w:tab/>
      </w:r>
      <w:r w:rsidR="003B7B8D" w:rsidRPr="003B7B8D">
        <w:rPr>
          <w:bCs/>
          <w:noProof w:val="0"/>
          <w:sz w:val="24"/>
          <w:szCs w:val="24"/>
        </w:rPr>
        <w:t>R2-2508323</w:t>
      </w:r>
    </w:p>
    <w:p w14:paraId="3041C890" w14:textId="24D50AA4" w:rsidR="00EC34CB" w:rsidRPr="00625D8E" w:rsidRDefault="00844F57" w:rsidP="00EC34CB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625D8E">
        <w:rPr>
          <w:sz w:val="24"/>
        </w:rPr>
        <w:t>Dallas, USA, 17 – 21 November 2025</w:t>
      </w:r>
      <w:r w:rsidR="00EC34CB" w:rsidRPr="00625D8E">
        <w:rPr>
          <w:sz w:val="24"/>
        </w:rPr>
        <w:tab/>
      </w:r>
      <w:r w:rsidR="00EC34CB" w:rsidRPr="00625D8E">
        <w:rPr>
          <w:sz w:val="24"/>
        </w:rPr>
        <w:tab/>
      </w:r>
    </w:p>
    <w:p w14:paraId="66B81926" w14:textId="77777777" w:rsidR="00EC34CB" w:rsidRPr="00625D8E" w:rsidRDefault="00EC34CB" w:rsidP="00EC34CB">
      <w:pPr>
        <w:pStyle w:val="Header"/>
        <w:rPr>
          <w:bCs/>
          <w:noProof w:val="0"/>
          <w:sz w:val="24"/>
        </w:rPr>
      </w:pPr>
    </w:p>
    <w:p w14:paraId="3FA9A2AB" w14:textId="05B463CA" w:rsidR="00EC34CB" w:rsidRPr="00625D8E" w:rsidRDefault="00EC34CB" w:rsidP="00EC34C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625D8E">
        <w:rPr>
          <w:rFonts w:cs="Arial"/>
          <w:b/>
          <w:bCs/>
          <w:sz w:val="24"/>
        </w:rPr>
        <w:t>Agenda item:</w:t>
      </w:r>
      <w:r w:rsidRPr="00625D8E">
        <w:rPr>
          <w:rFonts w:cs="Arial"/>
          <w:b/>
          <w:bCs/>
          <w:sz w:val="24"/>
        </w:rPr>
        <w:tab/>
      </w:r>
      <w:r w:rsidR="008F7E1A" w:rsidRPr="00625D8E">
        <w:rPr>
          <w:rFonts w:cs="Arial"/>
          <w:b/>
          <w:bCs/>
          <w:sz w:val="24"/>
          <w:lang w:eastAsia="ja-JP"/>
        </w:rPr>
        <w:t>8</w:t>
      </w:r>
      <w:r w:rsidRPr="00625D8E">
        <w:rPr>
          <w:rFonts w:cs="Arial"/>
          <w:b/>
          <w:bCs/>
          <w:sz w:val="24"/>
          <w:lang w:eastAsia="ja-JP"/>
        </w:rPr>
        <w:t>.</w:t>
      </w:r>
      <w:r w:rsidR="008F7E1A" w:rsidRPr="00625D8E">
        <w:rPr>
          <w:rFonts w:cs="Arial"/>
          <w:b/>
          <w:bCs/>
          <w:sz w:val="24"/>
          <w:lang w:eastAsia="ja-JP"/>
        </w:rPr>
        <w:t>0.</w:t>
      </w:r>
      <w:r w:rsidR="008823C0" w:rsidRPr="00625D8E">
        <w:rPr>
          <w:rFonts w:cs="Arial"/>
          <w:b/>
          <w:bCs/>
          <w:sz w:val="24"/>
          <w:lang w:eastAsia="ja-JP"/>
        </w:rPr>
        <w:t>2</w:t>
      </w:r>
    </w:p>
    <w:p w14:paraId="69D2481F" w14:textId="77777777" w:rsidR="00EC34CB" w:rsidRPr="00625D8E" w:rsidRDefault="00EC34CB" w:rsidP="00EC34C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25D8E">
        <w:rPr>
          <w:rFonts w:ascii="Arial" w:hAnsi="Arial" w:cs="Arial"/>
          <w:b/>
          <w:bCs/>
          <w:sz w:val="24"/>
        </w:rPr>
        <w:t>Source:</w:t>
      </w:r>
      <w:r w:rsidRPr="00625D8E">
        <w:rPr>
          <w:rFonts w:ascii="Arial" w:hAnsi="Arial" w:cs="Arial"/>
          <w:b/>
          <w:bCs/>
          <w:sz w:val="24"/>
        </w:rPr>
        <w:tab/>
        <w:t>Nokia</w:t>
      </w:r>
    </w:p>
    <w:p w14:paraId="4325AA79" w14:textId="34431CE6" w:rsidR="00EC34CB" w:rsidRPr="00625D8E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 w:rsidRPr="00625D8E">
        <w:rPr>
          <w:rFonts w:ascii="Arial" w:hAnsi="Arial" w:cs="Arial"/>
          <w:b/>
          <w:bCs/>
          <w:sz w:val="24"/>
        </w:rPr>
        <w:t>Title:</w:t>
      </w:r>
      <w:r w:rsidRPr="00625D8E">
        <w:rPr>
          <w:rFonts w:ascii="Arial" w:hAnsi="Arial" w:cs="Arial"/>
          <w:b/>
          <w:bCs/>
          <w:sz w:val="24"/>
        </w:rPr>
        <w:tab/>
      </w:r>
      <w:r w:rsidR="00F154FD" w:rsidRPr="00625D8E">
        <w:rPr>
          <w:rFonts w:ascii="Arial" w:hAnsi="Arial" w:cs="Arial"/>
          <w:b/>
          <w:bCs/>
          <w:sz w:val="24"/>
        </w:rPr>
        <w:t>Discussion on per-band per-BC capabilities</w:t>
      </w:r>
    </w:p>
    <w:p w14:paraId="1709BC4D" w14:textId="67A03BB2" w:rsidR="00EC34CB" w:rsidRPr="00625D8E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 w:rsidRPr="00625D8E">
        <w:rPr>
          <w:rFonts w:ascii="Arial" w:hAnsi="Arial" w:cs="Arial"/>
          <w:b/>
          <w:bCs/>
          <w:sz w:val="24"/>
        </w:rPr>
        <w:t>WID/SID:</w:t>
      </w:r>
      <w:r w:rsidRPr="00625D8E">
        <w:rPr>
          <w:rFonts w:ascii="Arial" w:hAnsi="Arial" w:cs="Arial"/>
          <w:b/>
          <w:bCs/>
          <w:sz w:val="24"/>
        </w:rPr>
        <w:tab/>
      </w:r>
      <w:r w:rsidR="002134D1" w:rsidRPr="002134D1">
        <w:rPr>
          <w:rFonts w:ascii="Arial" w:hAnsi="Arial" w:cs="Arial"/>
          <w:b/>
          <w:bCs/>
          <w:sz w:val="24"/>
        </w:rPr>
        <w:t>NR_MIMO_Ph5-Core, NR_AIML_air-Core</w:t>
      </w:r>
      <w:r w:rsidRPr="00625D8E">
        <w:rPr>
          <w:rFonts w:ascii="Arial" w:hAnsi="Arial" w:cs="Arial"/>
          <w:b/>
          <w:bCs/>
          <w:sz w:val="24"/>
        </w:rPr>
        <w:t xml:space="preserve"> - Release </w:t>
      </w:r>
      <w:r w:rsidR="008823C0" w:rsidRPr="00625D8E">
        <w:rPr>
          <w:rFonts w:ascii="Arial" w:hAnsi="Arial" w:cs="Arial"/>
          <w:b/>
          <w:bCs/>
          <w:sz w:val="24"/>
        </w:rPr>
        <w:t>19</w:t>
      </w:r>
    </w:p>
    <w:p w14:paraId="6B898F5E" w14:textId="77777777" w:rsidR="00EC34CB" w:rsidRPr="00625D8E" w:rsidRDefault="00EC34CB" w:rsidP="00EC34C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625D8E">
        <w:rPr>
          <w:rFonts w:ascii="Arial" w:hAnsi="Arial" w:cs="Arial"/>
          <w:b/>
          <w:bCs/>
          <w:sz w:val="24"/>
        </w:rPr>
        <w:t>Document for:</w:t>
      </w:r>
      <w:r w:rsidRPr="00625D8E">
        <w:rPr>
          <w:rFonts w:ascii="Arial" w:hAnsi="Arial" w:cs="Arial"/>
          <w:b/>
          <w:bCs/>
          <w:sz w:val="24"/>
        </w:rPr>
        <w:tab/>
        <w:t>Discussion and Decision</w:t>
      </w:r>
    </w:p>
    <w:p w14:paraId="174DE83C" w14:textId="77777777" w:rsidR="00EC34CB" w:rsidRPr="00625D8E" w:rsidRDefault="00EC34CB" w:rsidP="00EC34CB">
      <w:pPr>
        <w:pStyle w:val="Heading1"/>
      </w:pPr>
      <w:r w:rsidRPr="00625D8E">
        <w:t>1</w:t>
      </w:r>
      <w:r w:rsidRPr="00625D8E">
        <w:tab/>
        <w:t>Introduction</w:t>
      </w:r>
    </w:p>
    <w:p w14:paraId="159762BD" w14:textId="5B876AC7" w:rsidR="00EC34CB" w:rsidRPr="00625D8E" w:rsidRDefault="001704FD" w:rsidP="00EC34CB">
      <w:r w:rsidRPr="00625D8E">
        <w:t xml:space="preserve">After RAN2#131 the LS in </w:t>
      </w:r>
      <w:hyperlink r:id="rId13" w:history="1">
        <w:r w:rsidR="00D52921" w:rsidRPr="00625D8E">
          <w:rPr>
            <w:rStyle w:val="Hyperlink"/>
          </w:rPr>
          <w:t>R2-2506565</w:t>
        </w:r>
      </w:hyperlink>
      <w:r w:rsidRPr="00625D8E">
        <w:t xml:space="preserve"> was sent to RAN1 enquiring about </w:t>
      </w:r>
      <w:r w:rsidR="00863D92" w:rsidRPr="00625D8E">
        <w:t xml:space="preserve">the relationship between </w:t>
      </w:r>
      <w:r w:rsidRPr="00625D8E">
        <w:t xml:space="preserve">per-band </w:t>
      </w:r>
      <w:r w:rsidR="00863D92" w:rsidRPr="00625D8E">
        <w:t xml:space="preserve">and </w:t>
      </w:r>
      <w:r w:rsidRPr="00625D8E">
        <w:t>per-band combination capabilities</w:t>
      </w:r>
      <w:r w:rsidR="00D12220" w:rsidRPr="00625D8E">
        <w:t xml:space="preserve"> for features that are defined by RAN1 as “per band and per-BC”. In that LS, RAN2 </w:t>
      </w:r>
      <w:r w:rsidR="002B2F5D" w:rsidRPr="00625D8E">
        <w:t>provided several cases for analysis, with the agreed understanding in RAN2. Now</w:t>
      </w:r>
      <w:r w:rsidR="00A266C9" w:rsidRPr="00625D8E">
        <w:t xml:space="preserve"> RAN1 </w:t>
      </w:r>
      <w:r w:rsidR="002B2F5D" w:rsidRPr="00625D8E">
        <w:t>has replied b</w:t>
      </w:r>
      <w:r w:rsidR="002B2F5D" w:rsidRPr="0086521B">
        <w:t>ack</w:t>
      </w:r>
      <w:r w:rsidR="00A266C9" w:rsidRPr="0086521B">
        <w:t xml:space="preserve"> in </w:t>
      </w:r>
      <w:hyperlink r:id="rId14" w:history="1">
        <w:r w:rsidR="0086521B" w:rsidRPr="00301894">
          <w:rPr>
            <w:rStyle w:val="Hyperlink"/>
          </w:rPr>
          <w:t>R2-2508008</w:t>
        </w:r>
      </w:hyperlink>
      <w:r w:rsidR="00A266C9" w:rsidRPr="0086521B">
        <w:t xml:space="preserve"> (</w:t>
      </w:r>
      <w:r w:rsidR="009B2758" w:rsidRPr="0086521B">
        <w:t>R</w:t>
      </w:r>
      <w:r w:rsidR="009B2758" w:rsidRPr="00625D8E">
        <w:t>1-2507981</w:t>
      </w:r>
      <w:r w:rsidR="00A266C9" w:rsidRPr="00625D8E">
        <w:t>)</w:t>
      </w:r>
      <w:r w:rsidR="009A24C2" w:rsidRPr="00625D8E">
        <w:t>, basically confirming RAN2’s understanding of</w:t>
      </w:r>
      <w:r w:rsidR="001675E9" w:rsidRPr="00625D8E">
        <w:t xml:space="preserve"> per-band per-BC capabilities. </w:t>
      </w:r>
      <w:r w:rsidR="00F154FD" w:rsidRPr="00625D8E">
        <w:t>However, we think there is one ambiguity that still remains between per-band and per-BC capabilities, which we raise for further discussion in this contribution.</w:t>
      </w:r>
    </w:p>
    <w:p w14:paraId="6BB3AAA0" w14:textId="03D8CF57" w:rsidR="00EC34CB" w:rsidRPr="00625D8E" w:rsidRDefault="00EC34CB" w:rsidP="00EC34CB">
      <w:pPr>
        <w:pStyle w:val="Heading1"/>
      </w:pPr>
      <w:r w:rsidRPr="00625D8E">
        <w:t>2</w:t>
      </w:r>
      <w:r w:rsidRPr="00625D8E">
        <w:tab/>
      </w:r>
      <w:r w:rsidR="00F154FD" w:rsidRPr="00625D8E">
        <w:t>Discussion</w:t>
      </w:r>
    </w:p>
    <w:p w14:paraId="2FA7FC3B" w14:textId="11F13C40" w:rsidR="00625D8E" w:rsidRDefault="00D26F16" w:rsidP="00EC34C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565169" wp14:editId="409C73BA">
                <wp:simplePos x="0" y="0"/>
                <wp:positionH relativeFrom="margin">
                  <wp:align>right</wp:align>
                </wp:positionH>
                <wp:positionV relativeFrom="paragraph">
                  <wp:posOffset>246380</wp:posOffset>
                </wp:positionV>
                <wp:extent cx="6102350" cy="1866900"/>
                <wp:effectExtent l="0" t="0" r="12700" b="1905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B1746" w14:textId="34355A87" w:rsidR="00D26F16" w:rsidRPr="00943179" w:rsidRDefault="00D26F16" w:rsidP="00D26F16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both"/>
                              <w:rPr>
                                <w:rFonts w:ascii="Arial" w:eastAsia="DengXian" w:hAnsi="Arial" w:cs="Arial"/>
                                <w:lang w:val="en-US" w:eastAsia="zh-CN"/>
                              </w:rPr>
                            </w:pPr>
                            <w:r w:rsidRPr="00943179">
                              <w:rPr>
                                <w:rFonts w:ascii="Arial" w:eastAsia="DengXian" w:hAnsi="Arial" w:cs="Arial"/>
                                <w:b/>
                                <w:bCs/>
                                <w:lang w:val="en-US" w:eastAsia="zh-CN"/>
                              </w:rPr>
                              <w:t>Question 1:</w:t>
                            </w:r>
                            <w:r w:rsidRPr="00943179">
                              <w:rPr>
                                <w:rFonts w:ascii="Arial" w:eastAsia="DengXian" w:hAnsi="Arial" w:cs="Arial"/>
                                <w:lang w:val="en-US" w:eastAsia="zh-CN"/>
                              </w:rPr>
                              <w:t xml:space="preserve"> what is the relationship between per band and per BC capabilities i.e. what is the final capability in the following cases? </w:t>
                            </w:r>
                          </w:p>
                          <w:p w14:paraId="3778ABFA" w14:textId="77777777" w:rsidR="00D26F16" w:rsidRPr="00943179" w:rsidRDefault="00D26F16" w:rsidP="00D26F16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Arial" w:eastAsia="DengXian" w:hAnsi="Arial" w:cs="Arial"/>
                                <w:lang w:eastAsia="zh-CN"/>
                              </w:rPr>
                            </w:pPr>
                            <w:r w:rsidRPr="00943179">
                              <w:rPr>
                                <w:rFonts w:ascii="Arial" w:eastAsia="DengXian" w:hAnsi="Arial" w:cs="Arial"/>
                                <w:lang w:eastAsia="zh-CN"/>
                              </w:rPr>
                              <w:t xml:space="preserve">Case 1: when UE indicates both per band and per BC capability </w:t>
                            </w:r>
                          </w:p>
                          <w:p w14:paraId="2B6A5D9A" w14:textId="77777777" w:rsidR="00D26F16" w:rsidRPr="00943179" w:rsidRDefault="00D26F16" w:rsidP="00D26F16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Arial" w:eastAsia="DengXian" w:hAnsi="Arial" w:cs="Arial"/>
                                <w:lang w:eastAsia="zh-CN"/>
                              </w:rPr>
                            </w:pPr>
                            <w:r w:rsidRPr="00943179">
                              <w:rPr>
                                <w:rFonts w:ascii="Arial" w:eastAsia="DengXian" w:hAnsi="Arial" w:cs="Arial"/>
                                <w:lang w:eastAsia="zh-CN"/>
                              </w:rPr>
                              <w:t xml:space="preserve">Case 2:  when per BC capability is indicated but one of the bands in the BC doesn’t indicate per band capability </w:t>
                            </w:r>
                          </w:p>
                          <w:p w14:paraId="2A95B73C" w14:textId="77777777" w:rsidR="00D26F16" w:rsidRDefault="00D26F16" w:rsidP="00D26F16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Arial" w:eastAsia="DengXian" w:hAnsi="Arial" w:cs="Arial"/>
                                <w:lang w:eastAsia="zh-CN"/>
                              </w:rPr>
                            </w:pPr>
                            <w:r w:rsidRPr="00943179">
                              <w:rPr>
                                <w:rFonts w:ascii="Arial" w:eastAsia="DengXian" w:hAnsi="Arial" w:cs="Arial"/>
                                <w:lang w:eastAsia="zh-CN"/>
                              </w:rPr>
                              <w:t xml:space="preserve">Case 3:  when the UE reports the per band capability but does not include the per BC capability for a certain BC </w:t>
                            </w:r>
                          </w:p>
                          <w:p w14:paraId="16DBB5C1" w14:textId="0DDCA3B0" w:rsidR="00544B78" w:rsidRDefault="00544B78" w:rsidP="00544B7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Arial" w:eastAsia="DengXian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lang w:eastAsia="zh-CN"/>
                              </w:rPr>
                              <w:t>…</w:t>
                            </w:r>
                          </w:p>
                          <w:p w14:paraId="09624D0B" w14:textId="77777777" w:rsidR="00894DD4" w:rsidRDefault="00894DD4" w:rsidP="00544B7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Arial" w:eastAsia="DengXian" w:hAnsi="Arial" w:cs="Arial"/>
                                <w:lang w:eastAsia="zh-CN"/>
                              </w:rPr>
                            </w:pPr>
                          </w:p>
                          <w:p w14:paraId="28F89314" w14:textId="53268FAA" w:rsidR="00544B78" w:rsidRPr="00943179" w:rsidRDefault="001961BE" w:rsidP="00544B7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/>
                              <w:jc w:val="both"/>
                              <w:textAlignment w:val="baseline"/>
                              <w:rPr>
                                <w:rFonts w:ascii="Arial" w:eastAsia="DengXian" w:hAnsi="Arial" w:cs="Arial"/>
                                <w:lang w:eastAsia="zh-CN"/>
                              </w:rPr>
                            </w:pPr>
                            <w:r w:rsidRPr="001961BE">
                              <w:rPr>
                                <w:rFonts w:ascii="Arial" w:eastAsia="DengXian" w:hAnsi="Arial" w:cs="Arial"/>
                                <w:lang w:eastAsia="zh-CN"/>
                              </w:rPr>
                              <w:t>Regarding Case 3, RAN2 understands the UE supports the feature as indicated in the per band capability without further per BC limitations. Please indicate if this understanding is not correct</w:t>
                            </w:r>
                            <w:r>
                              <w:rPr>
                                <w:rFonts w:ascii="Arial" w:eastAsia="DengXian" w:hAnsi="Arial" w:cs="Arial"/>
                                <w:lang w:eastAsia="zh-CN"/>
                              </w:rPr>
                              <w:t>.</w:t>
                            </w:r>
                          </w:p>
                          <w:p w14:paraId="228248EE" w14:textId="5E7E7402" w:rsidR="00D26F16" w:rsidRDefault="00D26F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5651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9.3pt;margin-top:19.4pt;width:480.5pt;height:14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">
                <v:textbox>
                  <w:txbxContent>
                    <w:p w14:paraId="2FBB1746" w14:textId="34355A87" w:rsidR="00D26F16" w:rsidRPr="00943179" w:rsidRDefault="00D26F16" w:rsidP="00D26F16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both"/>
                        <w:rPr>
                          <w:rFonts w:ascii="Arial" w:eastAsia="DengXian" w:hAnsi="Arial" w:cs="Arial"/>
                          <w:lang w:val="en-US" w:eastAsia="zh-CN"/>
                        </w:rPr>
                      </w:pPr>
                      <w:r w:rsidRPr="00943179">
                        <w:rPr>
                          <w:rFonts w:ascii="Arial" w:eastAsia="DengXian" w:hAnsi="Arial" w:cs="Arial"/>
                          <w:b/>
                          <w:bCs/>
                          <w:lang w:val="en-US" w:eastAsia="zh-CN"/>
                        </w:rPr>
                        <w:t>Question 1:</w:t>
                      </w:r>
                      <w:r w:rsidRPr="00943179">
                        <w:rPr>
                          <w:rFonts w:ascii="Arial" w:eastAsia="DengXian" w:hAnsi="Arial" w:cs="Arial"/>
                          <w:lang w:val="en-US" w:eastAsia="zh-CN"/>
                        </w:rPr>
                        <w:t xml:space="preserve"> what is the relationship between per band and per BC capabilities i.e. what is the final capability in the following cases? </w:t>
                      </w:r>
                    </w:p>
                    <w:p w14:paraId="3778ABFA" w14:textId="77777777" w:rsidR="00D26F16" w:rsidRPr="00943179" w:rsidRDefault="00D26F16" w:rsidP="00D26F16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Arial" w:eastAsia="DengXian" w:hAnsi="Arial" w:cs="Arial"/>
                          <w:lang w:eastAsia="zh-CN"/>
                        </w:rPr>
                      </w:pPr>
                      <w:r w:rsidRPr="00943179">
                        <w:rPr>
                          <w:rFonts w:ascii="Arial" w:eastAsia="DengXian" w:hAnsi="Arial" w:cs="Arial"/>
                          <w:lang w:eastAsia="zh-CN"/>
                        </w:rPr>
                        <w:t xml:space="preserve">Case 1: when UE indicates both per band and per BC capability </w:t>
                      </w:r>
                    </w:p>
                    <w:p w14:paraId="2B6A5D9A" w14:textId="77777777" w:rsidR="00D26F16" w:rsidRPr="00943179" w:rsidRDefault="00D26F16" w:rsidP="00D26F16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Arial" w:eastAsia="DengXian" w:hAnsi="Arial" w:cs="Arial"/>
                          <w:lang w:eastAsia="zh-CN"/>
                        </w:rPr>
                      </w:pPr>
                      <w:r w:rsidRPr="00943179">
                        <w:rPr>
                          <w:rFonts w:ascii="Arial" w:eastAsia="DengXian" w:hAnsi="Arial" w:cs="Arial"/>
                          <w:lang w:eastAsia="zh-CN"/>
                        </w:rPr>
                        <w:t xml:space="preserve">Case 2:  when per BC capability is indicated but one of the bands in the BC doesn’t indicate per band capability </w:t>
                      </w:r>
                    </w:p>
                    <w:p w14:paraId="2A95B73C" w14:textId="77777777" w:rsidR="00D26F16" w:rsidRDefault="00D26F16" w:rsidP="00D26F16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Arial" w:eastAsia="DengXian" w:hAnsi="Arial" w:cs="Arial"/>
                          <w:lang w:eastAsia="zh-CN"/>
                        </w:rPr>
                      </w:pPr>
                      <w:r w:rsidRPr="00943179">
                        <w:rPr>
                          <w:rFonts w:ascii="Arial" w:eastAsia="DengXian" w:hAnsi="Arial" w:cs="Arial"/>
                          <w:lang w:eastAsia="zh-CN"/>
                        </w:rPr>
                        <w:t xml:space="preserve">Case 3:  when the UE reports the per band capability but does not include the per BC capability for a certain BC </w:t>
                      </w:r>
                    </w:p>
                    <w:p w14:paraId="16DBB5C1" w14:textId="0DDCA3B0" w:rsidR="00544B78" w:rsidRDefault="00544B78" w:rsidP="00544B78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Arial" w:eastAsia="DengXian" w:hAnsi="Arial" w:cs="Arial"/>
                          <w:lang w:eastAsia="zh-CN"/>
                        </w:rPr>
                      </w:pPr>
                      <w:r>
                        <w:rPr>
                          <w:rFonts w:ascii="Arial" w:eastAsia="DengXian" w:hAnsi="Arial" w:cs="Arial"/>
                          <w:lang w:eastAsia="zh-CN"/>
                        </w:rPr>
                        <w:t>…</w:t>
                      </w:r>
                    </w:p>
                    <w:p w14:paraId="09624D0B" w14:textId="77777777" w:rsidR="00894DD4" w:rsidRDefault="00894DD4" w:rsidP="00544B78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Arial" w:eastAsia="DengXian" w:hAnsi="Arial" w:cs="Arial"/>
                          <w:lang w:eastAsia="zh-CN"/>
                        </w:rPr>
                      </w:pPr>
                    </w:p>
                    <w:p w14:paraId="28F89314" w14:textId="53268FAA" w:rsidR="00544B78" w:rsidRPr="00943179" w:rsidRDefault="001961BE" w:rsidP="00544B78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/>
                        <w:jc w:val="both"/>
                        <w:textAlignment w:val="baseline"/>
                        <w:rPr>
                          <w:rFonts w:ascii="Arial" w:eastAsia="DengXian" w:hAnsi="Arial" w:cs="Arial"/>
                          <w:lang w:eastAsia="zh-CN"/>
                        </w:rPr>
                      </w:pPr>
                      <w:r w:rsidRPr="001961BE">
                        <w:rPr>
                          <w:rFonts w:ascii="Arial" w:eastAsia="DengXian" w:hAnsi="Arial" w:cs="Arial"/>
                          <w:lang w:eastAsia="zh-CN"/>
                        </w:rPr>
                        <w:t>Regarding Case 3, RAN2 understands the UE supports the feature as indicated in the per band capability without further per BC limitations. Please indicate if this understanding is not correct</w:t>
                      </w:r>
                      <w:r>
                        <w:rPr>
                          <w:rFonts w:ascii="Arial" w:eastAsia="DengXian" w:hAnsi="Arial" w:cs="Arial"/>
                          <w:lang w:eastAsia="zh-CN"/>
                        </w:rPr>
                        <w:t>.</w:t>
                      </w:r>
                    </w:p>
                    <w:p w14:paraId="228248EE" w14:textId="5E7E7402" w:rsidR="00D26F16" w:rsidRDefault="00D26F16"/>
                  </w:txbxContent>
                </v:textbox>
                <w10:wrap type="topAndBottom" anchorx="margin"/>
              </v:shape>
            </w:pict>
          </mc:Fallback>
        </mc:AlternateContent>
      </w:r>
      <w:r w:rsidR="00625D8E">
        <w:t xml:space="preserve">In </w:t>
      </w:r>
      <w:r w:rsidR="001961BE">
        <w:t>the</w:t>
      </w:r>
      <w:r w:rsidR="00625D8E">
        <w:t xml:space="preserve"> LS to RAN1, </w:t>
      </w:r>
      <w:r w:rsidR="001961BE">
        <w:t>RAN2</w:t>
      </w:r>
      <w:r w:rsidR="00C15069">
        <w:t xml:space="preserve"> asked about the below cases</w:t>
      </w:r>
      <w:r w:rsidR="004976E1">
        <w:t>. We focus our discussion on Case 3.</w:t>
      </w:r>
    </w:p>
    <w:p w14:paraId="2F4612F7" w14:textId="042D0812" w:rsidR="00894DD4" w:rsidRDefault="00BF7F5E" w:rsidP="00EC34C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E2D2131" wp14:editId="1C710D1F">
                <wp:simplePos x="0" y="0"/>
                <wp:positionH relativeFrom="margin">
                  <wp:align>right</wp:align>
                </wp:positionH>
                <wp:positionV relativeFrom="paragraph">
                  <wp:posOffset>2142490</wp:posOffset>
                </wp:positionV>
                <wp:extent cx="6096000" cy="857250"/>
                <wp:effectExtent l="0" t="0" r="19050" b="19050"/>
                <wp:wrapTopAndBottom/>
                <wp:docPr id="21398444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FFA7C" w14:textId="77777777" w:rsidR="00BF7F5E" w:rsidRPr="007F5198" w:rsidRDefault="00BF7F5E" w:rsidP="00BF7F5E">
                            <w:pPr>
                              <w:spacing w:afterLines="50" w:after="12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lang w:val="en-US" w:eastAsia="zh-CN"/>
                              </w:rPr>
                              <w:t>Case 3:</w:t>
                            </w:r>
                          </w:p>
                          <w:p w14:paraId="67595603" w14:textId="77777777" w:rsidR="00BF7F5E" w:rsidRPr="002A1461" w:rsidRDefault="00BF7F5E" w:rsidP="00BF7F5E">
                            <w:pPr>
                              <w:numPr>
                                <w:ilvl w:val="0"/>
                                <w:numId w:val="24"/>
                              </w:numPr>
                              <w:spacing w:afterLines="50" w:after="120"/>
                              <w:jc w:val="both"/>
                              <w:rPr>
                                <w:rFonts w:ascii="Arial" w:hAnsi="Arial" w:cs="Arial"/>
                                <w:bCs/>
                                <w:lang w:val="en-US"/>
                              </w:rPr>
                            </w:pPr>
                            <w:r w:rsidRPr="002A1461">
                              <w:rPr>
                                <w:rFonts w:ascii="Arial" w:hAnsi="Arial" w:cs="Arial"/>
                                <w:bCs/>
                                <w:lang w:val="en-US"/>
                              </w:rPr>
                              <w:t>RAN2’s understanding is generally correct</w:t>
                            </w:r>
                          </w:p>
                          <w:p w14:paraId="087AEFEE" w14:textId="72032D3D" w:rsidR="00BF7F5E" w:rsidRPr="00BF7F5E" w:rsidRDefault="00BF7F5E" w:rsidP="00BF7F5E">
                            <w:pPr>
                              <w:numPr>
                                <w:ilvl w:val="0"/>
                                <w:numId w:val="24"/>
                              </w:numPr>
                              <w:spacing w:afterLines="50" w:after="120"/>
                              <w:jc w:val="both"/>
                              <w:rPr>
                                <w:rFonts w:ascii="Arial" w:hAnsi="Arial" w:cs="Arial"/>
                                <w:bCs/>
                                <w:lang w:val="en-US"/>
                              </w:rPr>
                            </w:pPr>
                            <w:r w:rsidRPr="002A1461">
                              <w:rPr>
                                <w:rFonts w:ascii="Arial" w:hAnsi="Arial" w:cs="Arial"/>
                                <w:bCs/>
                                <w:lang w:val="en-US"/>
                              </w:rPr>
                              <w:t>RAN1 will review by RAN1 #123 for which FGs special rules/handling may need to be defined in Rel. 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D2131" id="_x0000_s1027" type="#_x0000_t202" style="position:absolute;margin-left:428.8pt;margin-top:168.7pt;width:480pt;height:67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">
                <v:textbox>
                  <w:txbxContent>
                    <w:p w14:paraId="6F9FFA7C" w14:textId="77777777" w:rsidR="00BF7F5E" w:rsidRPr="007F5198" w:rsidRDefault="00BF7F5E" w:rsidP="00BF7F5E">
                      <w:pPr>
                        <w:spacing w:afterLines="50" w:after="12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b/>
                          <w:lang w:val="en-US" w:eastAsia="zh-CN"/>
                        </w:rPr>
                        <w:t>Case 3:</w:t>
                      </w:r>
                    </w:p>
                    <w:p w14:paraId="67595603" w14:textId="77777777" w:rsidR="00BF7F5E" w:rsidRPr="002A1461" w:rsidRDefault="00BF7F5E" w:rsidP="00BF7F5E">
                      <w:pPr>
                        <w:numPr>
                          <w:ilvl w:val="0"/>
                          <w:numId w:val="24"/>
                        </w:numPr>
                        <w:spacing w:afterLines="50" w:after="120"/>
                        <w:jc w:val="both"/>
                        <w:rPr>
                          <w:rFonts w:ascii="Arial" w:hAnsi="Arial" w:cs="Arial"/>
                          <w:bCs/>
                          <w:lang w:val="en-US"/>
                        </w:rPr>
                      </w:pPr>
                      <w:r w:rsidRPr="002A1461">
                        <w:rPr>
                          <w:rFonts w:ascii="Arial" w:hAnsi="Arial" w:cs="Arial"/>
                          <w:bCs/>
                          <w:lang w:val="en-US"/>
                        </w:rPr>
                        <w:t>RAN2’s understanding is generally correct</w:t>
                      </w:r>
                    </w:p>
                    <w:p w14:paraId="087AEFEE" w14:textId="72032D3D" w:rsidR="00BF7F5E" w:rsidRPr="00BF7F5E" w:rsidRDefault="00BF7F5E" w:rsidP="00BF7F5E">
                      <w:pPr>
                        <w:numPr>
                          <w:ilvl w:val="0"/>
                          <w:numId w:val="24"/>
                        </w:numPr>
                        <w:spacing w:afterLines="50" w:after="120"/>
                        <w:jc w:val="both"/>
                        <w:rPr>
                          <w:rFonts w:ascii="Arial" w:hAnsi="Arial" w:cs="Arial"/>
                          <w:bCs/>
                          <w:lang w:val="en-US"/>
                        </w:rPr>
                      </w:pPr>
                      <w:r w:rsidRPr="002A1461">
                        <w:rPr>
                          <w:rFonts w:ascii="Arial" w:hAnsi="Arial" w:cs="Arial"/>
                          <w:bCs/>
                          <w:lang w:val="en-US"/>
                        </w:rPr>
                        <w:t>RAN1 will review by RAN1 #123 for which FGs special rules/handling may need to be defined in Rel. 19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971E8">
        <w:t>In their reply</w:t>
      </w:r>
      <w:r w:rsidR="00515196">
        <w:t xml:space="preserve"> LS</w:t>
      </w:r>
      <w:r w:rsidR="00E971E8">
        <w:t>, RAN1 confirmed RAN2’s understanding:</w:t>
      </w:r>
    </w:p>
    <w:p w14:paraId="12B4B42D" w14:textId="763CD7A9" w:rsidR="00E971E8" w:rsidRDefault="00746A8B" w:rsidP="00EC34CB">
      <w:r>
        <w:t xml:space="preserve">In other words, if a </w:t>
      </w:r>
      <w:r w:rsidR="009C64D9">
        <w:t xml:space="preserve">UE </w:t>
      </w:r>
      <w:r w:rsidR="0030528B">
        <w:t xml:space="preserve">indicates that it </w:t>
      </w:r>
      <w:r w:rsidR="009C64D9">
        <w:t>supports a per-band per-BC capability</w:t>
      </w:r>
      <w:r w:rsidR="0030528B">
        <w:t xml:space="preserve"> </w:t>
      </w:r>
      <w:r w:rsidR="00783963">
        <w:t>for</w:t>
      </w:r>
      <w:r w:rsidR="0030528B">
        <w:t xml:space="preserve"> a set of bands {</w:t>
      </w:r>
      <w:r w:rsidR="00507B67">
        <w:t>n</w:t>
      </w:r>
      <w:r w:rsidR="00F86AF9">
        <w:t>A</w:t>
      </w:r>
      <w:r w:rsidR="0030528B">
        <w:t>,</w:t>
      </w:r>
      <w:r w:rsidR="00507B67">
        <w:t>n</w:t>
      </w:r>
      <w:r w:rsidR="0030528B">
        <w:t>B,</w:t>
      </w:r>
      <w:r w:rsidR="00507B67">
        <w:t>n</w:t>
      </w:r>
      <w:r w:rsidR="0030528B">
        <w:t>C}</w:t>
      </w:r>
      <w:r w:rsidR="00D91C85">
        <w:t xml:space="preserve"> but does not indicate </w:t>
      </w:r>
      <w:r w:rsidR="00F86AF9">
        <w:t>the</w:t>
      </w:r>
      <w:r w:rsidR="00783963">
        <w:t xml:space="preserve"> same</w:t>
      </w:r>
      <w:r w:rsidR="00F86AF9">
        <w:t xml:space="preserve"> capability for any of the BCs, CA_</w:t>
      </w:r>
      <w:r w:rsidR="00507B67">
        <w:t>n</w:t>
      </w:r>
      <w:r w:rsidR="00F86AF9">
        <w:t>A-</w:t>
      </w:r>
      <w:r w:rsidR="00507B67">
        <w:t>n</w:t>
      </w:r>
      <w:r w:rsidR="00F86AF9">
        <w:t>B</w:t>
      </w:r>
      <w:r w:rsidR="00C40F19">
        <w:t>, CA_</w:t>
      </w:r>
      <w:r w:rsidR="00507B67">
        <w:t>n</w:t>
      </w:r>
      <w:r w:rsidR="00C40F19">
        <w:t>A-</w:t>
      </w:r>
      <w:r w:rsidR="00507B67">
        <w:t>n</w:t>
      </w:r>
      <w:r w:rsidR="00C40F19">
        <w:t>C, CA_</w:t>
      </w:r>
      <w:r w:rsidR="00507B67">
        <w:t>n</w:t>
      </w:r>
      <w:r w:rsidR="00C40F19">
        <w:t>B-</w:t>
      </w:r>
      <w:r w:rsidR="00507B67">
        <w:t>nC</w:t>
      </w:r>
      <w:r w:rsidR="001A1F4E">
        <w:t>, CA_nA-nB-nC, then t</w:t>
      </w:r>
      <w:r w:rsidR="00B03726">
        <w:t>hat implies that the UE supports the feature without further restriction</w:t>
      </w:r>
      <w:r w:rsidR="004D4599">
        <w:t xml:space="preserve"> </w:t>
      </w:r>
      <w:r w:rsidR="00674C28">
        <w:t>in each of CA_nA-nB, CA_nA-nC, CA_nB-nC, CA_nA-nB-nC.</w:t>
      </w:r>
    </w:p>
    <w:p w14:paraId="04F6FB1E" w14:textId="79542E5D" w:rsidR="00A968F0" w:rsidRDefault="00674C28" w:rsidP="00EC34CB">
      <w:r>
        <w:t xml:space="preserve">However, </w:t>
      </w:r>
      <w:r w:rsidR="00E1239A">
        <w:t xml:space="preserve">this leads to another question: </w:t>
      </w:r>
      <w:r w:rsidR="002B1FB6">
        <w:t>how do we handle the</w:t>
      </w:r>
      <w:r w:rsidR="00E1239A">
        <w:t xml:space="preserve"> case </w:t>
      </w:r>
      <w:r w:rsidR="002B1FB6">
        <w:t xml:space="preserve">where a </w:t>
      </w:r>
      <w:r w:rsidR="00E1239A">
        <w:t xml:space="preserve">UE </w:t>
      </w:r>
      <w:r w:rsidR="00F850A5">
        <w:t xml:space="preserve">supports a </w:t>
      </w:r>
      <w:r w:rsidR="00514ED8">
        <w:t xml:space="preserve">per-band per-BC </w:t>
      </w:r>
      <w:r w:rsidR="00F850A5">
        <w:t>capability in a set of bands</w:t>
      </w:r>
      <w:r w:rsidR="009C6751">
        <w:t xml:space="preserve"> e.g. {nA,nB,nC</w:t>
      </w:r>
      <w:r w:rsidR="00C53A50">
        <w:t>},</w:t>
      </w:r>
      <w:r w:rsidR="00F850A5">
        <w:t xml:space="preserve"> but does not support </w:t>
      </w:r>
      <w:r w:rsidR="009C6751">
        <w:t>the capability</w:t>
      </w:r>
      <w:r w:rsidR="00F850A5">
        <w:t xml:space="preserve"> in</w:t>
      </w:r>
      <w:r w:rsidR="00C53A50">
        <w:t xml:space="preserve"> a</w:t>
      </w:r>
      <w:r w:rsidR="00F850A5">
        <w:t xml:space="preserve"> CA combination</w:t>
      </w:r>
      <w:r w:rsidR="002B1FB6">
        <w:t xml:space="preserve"> of those bands, e.g. in at least one of </w:t>
      </w:r>
      <w:r w:rsidR="00F850A5">
        <w:t xml:space="preserve"> </w:t>
      </w:r>
      <w:r w:rsidR="00C53A50">
        <w:t>{</w:t>
      </w:r>
      <w:r w:rsidR="002B1FB6">
        <w:t>CA_nA-nB, CA_nA-nC, CA_nB-nC, CA_nA-nB-nC</w:t>
      </w:r>
      <w:r w:rsidR="00C53A50">
        <w:t>}</w:t>
      </w:r>
      <w:r w:rsidR="0033445F">
        <w:t>?</w:t>
      </w:r>
      <w:r w:rsidR="00514ED8">
        <w:t xml:space="preserve"> In other words, if </w:t>
      </w:r>
      <w:r w:rsidR="006A1244">
        <w:t xml:space="preserve">a </w:t>
      </w:r>
      <w:r w:rsidR="00514ED8">
        <w:t xml:space="preserve">UE supports the feature in single CC but does not support </w:t>
      </w:r>
      <w:r w:rsidR="006A1244">
        <w:t>it in CA, how can it indicate that to the network?</w:t>
      </w:r>
    </w:p>
    <w:p w14:paraId="527FCE4A" w14:textId="0EE2D6C4" w:rsidR="00674C28" w:rsidRDefault="0033445F" w:rsidP="00EC34CB">
      <w:r>
        <w:t xml:space="preserve">Normally, not signalling </w:t>
      </w:r>
      <w:r w:rsidR="00A968F0">
        <w:t>a</w:t>
      </w:r>
      <w:r>
        <w:t xml:space="preserve"> capability in </w:t>
      </w:r>
      <w:r w:rsidR="00A968F0">
        <w:t>a</w:t>
      </w:r>
      <w:r>
        <w:t xml:space="preserve"> BC means that </w:t>
      </w:r>
      <w:r w:rsidR="00C53A50">
        <w:t>the capability</w:t>
      </w:r>
      <w:r>
        <w:t xml:space="preserve"> is not supported</w:t>
      </w:r>
      <w:r w:rsidR="00A968F0">
        <w:t xml:space="preserve"> for th</w:t>
      </w:r>
      <w:r w:rsidR="00C53A50">
        <w:t>e</w:t>
      </w:r>
      <w:r w:rsidR="00A968F0">
        <w:t xml:space="preserve"> BC</w:t>
      </w:r>
      <w:r>
        <w:t xml:space="preserve">, but that </w:t>
      </w:r>
      <w:r w:rsidR="00A968F0">
        <w:t>contradicts the understanding confirmed by RAN1</w:t>
      </w:r>
      <w:r w:rsidR="00C53A50">
        <w:t xml:space="preserve"> for per-band per-BC capabilities</w:t>
      </w:r>
      <w:r w:rsidR="00A968F0">
        <w:t>.</w:t>
      </w:r>
      <w:r w:rsidR="0022441D">
        <w:t xml:space="preserve"> This seems to imply that for any per-band per-</w:t>
      </w:r>
      <w:r w:rsidR="0022441D">
        <w:lastRenderedPageBreak/>
        <w:t xml:space="preserve">BC capability, </w:t>
      </w:r>
      <w:r w:rsidR="00C53A50">
        <w:t xml:space="preserve">if </w:t>
      </w:r>
      <w:r w:rsidR="00CD0780">
        <w:t xml:space="preserve">a </w:t>
      </w:r>
      <w:r w:rsidR="00C53A50">
        <w:t xml:space="preserve">UE supports </w:t>
      </w:r>
      <w:r w:rsidR="001E79AA">
        <w:t>the capability for a set of bands, then the UE must also support the capability in any BC composed of those bands.</w:t>
      </w:r>
      <w:r w:rsidR="000A7EEC">
        <w:t xml:space="preserve"> </w:t>
      </w:r>
      <w:r w:rsidR="00D7470E">
        <w:t>However, i</w:t>
      </w:r>
      <w:r w:rsidR="004B44C9">
        <w:t xml:space="preserve">t </w:t>
      </w:r>
      <w:r w:rsidR="00362A37">
        <w:t xml:space="preserve">is </w:t>
      </w:r>
      <w:r w:rsidR="004B44C9">
        <w:t xml:space="preserve">quite unlikely that UE implementations would be able to support that </w:t>
      </w:r>
      <w:r w:rsidR="00E91684">
        <w:t xml:space="preserve">requirement </w:t>
      </w:r>
      <w:r w:rsidR="004B44C9">
        <w:t>in all cases!</w:t>
      </w:r>
    </w:p>
    <w:p w14:paraId="5DD178C1" w14:textId="543938BF" w:rsidR="00FF39B7" w:rsidRPr="00625D8E" w:rsidRDefault="00FF39B7" w:rsidP="00FF39B7">
      <w:r w:rsidRPr="00625D8E">
        <w:rPr>
          <w:b/>
        </w:rPr>
        <w:t>Observation 1</w:t>
      </w:r>
      <w:r w:rsidRPr="00625D8E">
        <w:rPr>
          <w:bCs/>
        </w:rPr>
        <w:t>:</w:t>
      </w:r>
      <w:r w:rsidRPr="00625D8E">
        <w:t xml:space="preserve"> </w:t>
      </w:r>
      <w:r>
        <w:t xml:space="preserve">For a per-band per-BC capability, according to the understanding confirmed by RAN1, there is no way for a UE to indicate that it supports the capability in a set of bands </w:t>
      </w:r>
      <w:r w:rsidR="004A2000">
        <w:t xml:space="preserve">(per-band) </w:t>
      </w:r>
      <w:r>
        <w:t>while not supporting the capability in a CA band combination composed of those bands</w:t>
      </w:r>
      <w:r w:rsidR="004A2000">
        <w:t xml:space="preserve"> (not per-BC)</w:t>
      </w:r>
      <w:r>
        <w:t xml:space="preserve">. This forces </w:t>
      </w:r>
      <w:r w:rsidR="007B2BAF">
        <w:t xml:space="preserve">the </w:t>
      </w:r>
      <w:r>
        <w:t>UE to always support the feature in CA.</w:t>
      </w:r>
    </w:p>
    <w:p w14:paraId="550F6B63" w14:textId="513B67F6" w:rsidR="00EC34CB" w:rsidRDefault="00EC34CB" w:rsidP="00EC34CB">
      <w:r w:rsidRPr="00625D8E">
        <w:rPr>
          <w:b/>
        </w:rPr>
        <w:t>Proposal 1</w:t>
      </w:r>
      <w:r w:rsidRPr="00625D8E">
        <w:rPr>
          <w:bCs/>
        </w:rPr>
        <w:t>:</w:t>
      </w:r>
      <w:r w:rsidRPr="00625D8E">
        <w:t xml:space="preserve"> </w:t>
      </w:r>
      <w:r w:rsidR="00FF39B7">
        <w:t xml:space="preserve">RAN2 should discuss </w:t>
      </w:r>
      <w:r w:rsidR="00DE1907">
        <w:t>the following</w:t>
      </w:r>
      <w:r w:rsidR="00A21902">
        <w:t xml:space="preserve"> </w:t>
      </w:r>
      <w:r w:rsidR="008F12EB">
        <w:t xml:space="preserve">alternatives </w:t>
      </w:r>
      <w:r w:rsidR="00A21902">
        <w:t>for per-band per-BC capabilities:</w:t>
      </w:r>
    </w:p>
    <w:p w14:paraId="2B173968" w14:textId="46548F71" w:rsidR="00130DCC" w:rsidRDefault="00A21902" w:rsidP="00130DCC">
      <w:pPr>
        <w:pStyle w:val="B1"/>
      </w:pPr>
      <w:r>
        <w:t>-</w:t>
      </w:r>
      <w:r>
        <w:tab/>
      </w:r>
      <w:r w:rsidR="00DB5F74">
        <w:t xml:space="preserve">Alt-1: </w:t>
      </w:r>
      <w:r w:rsidR="006A1711">
        <w:t>If a UE support</w:t>
      </w:r>
      <w:r w:rsidR="003D0EAB">
        <w:t>s</w:t>
      </w:r>
      <w:r w:rsidR="006A1711">
        <w:t xml:space="preserve"> such capabilities in a set of bands separately</w:t>
      </w:r>
      <w:r w:rsidR="00277BFE">
        <w:t xml:space="preserve"> (per-band</w:t>
      </w:r>
      <w:r w:rsidR="006A1711">
        <w:t xml:space="preserve">) then the </w:t>
      </w:r>
      <w:r>
        <w:t xml:space="preserve">UE </w:t>
      </w:r>
      <w:r w:rsidR="00277BFE">
        <w:t>must</w:t>
      </w:r>
      <w:r w:rsidR="006A1711">
        <w:t xml:space="preserve"> </w:t>
      </w:r>
      <w:r w:rsidR="00277BFE">
        <w:t>always</w:t>
      </w:r>
      <w:r w:rsidR="006A1711">
        <w:t xml:space="preserve"> support those</w:t>
      </w:r>
      <w:r>
        <w:t xml:space="preserve"> capabilities </w:t>
      </w:r>
      <w:r w:rsidR="003D0EAB">
        <w:t>in</w:t>
      </w:r>
      <w:r>
        <w:t xml:space="preserve"> </w:t>
      </w:r>
      <w:r w:rsidR="00201986">
        <w:t>a</w:t>
      </w:r>
      <w:r w:rsidR="00277BFE">
        <w:t>ny</w:t>
      </w:r>
      <w:r w:rsidR="00201986">
        <w:t xml:space="preserve"> </w:t>
      </w:r>
      <w:r>
        <w:t xml:space="preserve">CA </w:t>
      </w:r>
      <w:r w:rsidR="003015BB">
        <w:t xml:space="preserve">combination </w:t>
      </w:r>
      <w:r w:rsidR="003D0EAB">
        <w:t xml:space="preserve">composed of </w:t>
      </w:r>
      <w:r w:rsidR="006A1711">
        <w:t>the respective</w:t>
      </w:r>
      <w:r w:rsidR="00201986">
        <w:t xml:space="preserve"> bands</w:t>
      </w:r>
      <w:r w:rsidR="003D0EAB">
        <w:t xml:space="preserve"> (per-BC).</w:t>
      </w:r>
      <w:r w:rsidR="00B00C25">
        <w:t xml:space="preserve"> </w:t>
      </w:r>
      <w:r w:rsidR="009A37B0">
        <w:t>No further enhancement is needed</w:t>
      </w:r>
      <w:r w:rsidR="00B676ED">
        <w:t xml:space="preserve"> for this case.</w:t>
      </w:r>
    </w:p>
    <w:p w14:paraId="7E260A73" w14:textId="7279DAD6" w:rsidR="00DD1222" w:rsidRDefault="00130DCC" w:rsidP="00D2448F">
      <w:pPr>
        <w:pStyle w:val="B1"/>
      </w:pPr>
      <w:r>
        <w:t>-</w:t>
      </w:r>
      <w:r>
        <w:tab/>
      </w:r>
      <w:r w:rsidR="00DB5F74">
        <w:t xml:space="preserve">Alt-2: </w:t>
      </w:r>
      <w:r w:rsidR="0002632A">
        <w:t>A</w:t>
      </w:r>
      <w:r w:rsidR="00D2448F">
        <w:t xml:space="preserve"> UE </w:t>
      </w:r>
      <w:r w:rsidR="0002632A">
        <w:t xml:space="preserve">may support </w:t>
      </w:r>
      <w:r w:rsidR="00D2448F">
        <w:t xml:space="preserve">such capabilities in a set of bands separately (per-band) </w:t>
      </w:r>
      <w:r w:rsidR="0002632A">
        <w:t xml:space="preserve">while not supporting the capabilities </w:t>
      </w:r>
      <w:r w:rsidR="008F12EB">
        <w:t>in a CA combination composed of the respective bands (</w:t>
      </w:r>
      <w:r w:rsidR="00316D47">
        <w:t xml:space="preserve">not </w:t>
      </w:r>
      <w:r w:rsidR="008F12EB">
        <w:t>per-BC).</w:t>
      </w:r>
      <w:r w:rsidR="0071380B">
        <w:t xml:space="preserve"> Further discussion is needed on how to handle </w:t>
      </w:r>
      <w:r w:rsidR="00B676ED">
        <w:t>this case.</w:t>
      </w:r>
    </w:p>
    <w:p w14:paraId="03FDBC26" w14:textId="77777777" w:rsidR="00EC34CB" w:rsidRPr="00625D8E" w:rsidRDefault="00EC34CB" w:rsidP="00EC34CB">
      <w:pPr>
        <w:pStyle w:val="Heading1"/>
      </w:pPr>
      <w:r w:rsidRPr="00625D8E">
        <w:t>3</w:t>
      </w:r>
      <w:r w:rsidRPr="00625D8E">
        <w:tab/>
        <w:t>Conclusion</w:t>
      </w:r>
    </w:p>
    <w:p w14:paraId="4F050427" w14:textId="4156D1C5" w:rsidR="008F7436" w:rsidRPr="008F7436" w:rsidRDefault="008F7436" w:rsidP="00E91ECF">
      <w:pPr>
        <w:rPr>
          <w:bCs/>
        </w:rPr>
      </w:pPr>
      <w:r>
        <w:rPr>
          <w:bCs/>
        </w:rPr>
        <w:t>In this document we have observed and proposed the following:</w:t>
      </w:r>
    </w:p>
    <w:p w14:paraId="2EB06B07" w14:textId="611DCB16" w:rsidR="00E91ECF" w:rsidRPr="00625D8E" w:rsidRDefault="00E91ECF" w:rsidP="00E91ECF">
      <w:r w:rsidRPr="00625D8E">
        <w:rPr>
          <w:b/>
        </w:rPr>
        <w:t>Observation 1</w:t>
      </w:r>
      <w:r w:rsidRPr="00625D8E">
        <w:rPr>
          <w:bCs/>
        </w:rPr>
        <w:t>:</w:t>
      </w:r>
      <w:r w:rsidRPr="00625D8E">
        <w:t xml:space="preserve"> </w:t>
      </w:r>
      <w:r>
        <w:t>For a per-band per-BC capability, according to the understanding confirmed by RAN1, there is no way for a UE to indicate that it supports the capability in a set of bands (per-band) while not supporting the capability in a CA band combination composed of those bands (not per-BC). This forces the UE to always support the feature in CA.</w:t>
      </w:r>
    </w:p>
    <w:p w14:paraId="3FD2B723" w14:textId="77777777" w:rsidR="00B676ED" w:rsidRDefault="00B676ED" w:rsidP="00B676ED">
      <w:r w:rsidRPr="00625D8E">
        <w:rPr>
          <w:b/>
        </w:rPr>
        <w:t>Proposal 1</w:t>
      </w:r>
      <w:r w:rsidRPr="00625D8E">
        <w:rPr>
          <w:bCs/>
        </w:rPr>
        <w:t>:</w:t>
      </w:r>
      <w:r w:rsidRPr="00625D8E">
        <w:t xml:space="preserve"> </w:t>
      </w:r>
      <w:r>
        <w:t>RAN2 should discuss the following alternatives for per-band per-BC capabilities:</w:t>
      </w:r>
    </w:p>
    <w:p w14:paraId="11C88459" w14:textId="77777777" w:rsidR="00B676ED" w:rsidRDefault="00B676ED" w:rsidP="00B676ED">
      <w:pPr>
        <w:pStyle w:val="B1"/>
      </w:pPr>
      <w:r>
        <w:t>-</w:t>
      </w:r>
      <w:r>
        <w:tab/>
        <w:t>Alt-1: If a UE supports such capabilities in a set of bands separately (per-band) then the UE must always support those capabilities in any CA combination composed of the respective bands (per-BC). No further enhancement is needed for this case.</w:t>
      </w:r>
    </w:p>
    <w:p w14:paraId="74B285D8" w14:textId="74F1B860" w:rsidR="00EC34CB" w:rsidRPr="00625D8E" w:rsidRDefault="00B676ED" w:rsidP="00B676ED">
      <w:pPr>
        <w:pStyle w:val="B1"/>
      </w:pPr>
      <w:r>
        <w:t>-</w:t>
      </w:r>
      <w:r>
        <w:tab/>
        <w:t>Alt-2: A UE may support such capabilities in a set of bands separately (per-band) while not supporting the capabilities in a CA combination composed of the respective bands (</w:t>
      </w:r>
      <w:r w:rsidR="00316D47">
        <w:t xml:space="preserve">not </w:t>
      </w:r>
      <w:r>
        <w:t>per-BC). Further discussion is needed on how to handle this case.</w:t>
      </w:r>
    </w:p>
    <w:p w14:paraId="7FC5B5E3" w14:textId="77777777" w:rsidR="00EC34CB" w:rsidRPr="00625D8E" w:rsidRDefault="00EC34CB" w:rsidP="00EC34CB"/>
    <w:p w14:paraId="5EDFC06C" w14:textId="77777777" w:rsidR="00EC34CB" w:rsidRPr="00625D8E" w:rsidRDefault="00EC34CB" w:rsidP="00EC34CB"/>
    <w:p w14:paraId="48E5CBEC" w14:textId="77777777" w:rsidR="00EC34CB" w:rsidRPr="00625D8E" w:rsidRDefault="00EC34CB" w:rsidP="00EC34CB"/>
    <w:p w14:paraId="32CCEAA9" w14:textId="77777777" w:rsidR="00EC34CB" w:rsidRPr="00625D8E" w:rsidRDefault="00EC34CB" w:rsidP="00EC34CB">
      <w:pPr>
        <w:pStyle w:val="CRCoverPage"/>
        <w:tabs>
          <w:tab w:val="left" w:pos="1985"/>
        </w:tabs>
      </w:pPr>
    </w:p>
    <w:p w14:paraId="43240D3F" w14:textId="77777777" w:rsidR="00FA439B" w:rsidRPr="00625D8E" w:rsidRDefault="00FA439B" w:rsidP="00EC34CB"/>
    <w:sectPr w:rsidR="00FA439B" w:rsidRPr="00625D8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7DE93" w14:textId="77777777" w:rsidR="00B12D33" w:rsidRDefault="00B12D33">
      <w:r>
        <w:separator/>
      </w:r>
    </w:p>
  </w:endnote>
  <w:endnote w:type="continuationSeparator" w:id="0">
    <w:p w14:paraId="6DA6518F" w14:textId="77777777" w:rsidR="00B12D33" w:rsidRDefault="00B12D33">
      <w:r>
        <w:continuationSeparator/>
      </w:r>
    </w:p>
  </w:endnote>
  <w:endnote w:type="continuationNotice" w:id="1">
    <w:p w14:paraId="5F96A397" w14:textId="77777777" w:rsidR="00B12D33" w:rsidRDefault="00B12D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480" w14:textId="77777777" w:rsidR="004E4BC1" w:rsidRDefault="004E4B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5897" w14:textId="77777777" w:rsidR="004E4BC1" w:rsidRDefault="004E4B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8218" w14:textId="77777777" w:rsidR="004E4BC1" w:rsidRDefault="004E4B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497B" w14:textId="77777777" w:rsidR="00B12D33" w:rsidRDefault="00B12D33">
      <w:r>
        <w:separator/>
      </w:r>
    </w:p>
  </w:footnote>
  <w:footnote w:type="continuationSeparator" w:id="0">
    <w:p w14:paraId="219EE308" w14:textId="77777777" w:rsidR="00B12D33" w:rsidRDefault="00B12D33">
      <w:r>
        <w:continuationSeparator/>
      </w:r>
    </w:p>
  </w:footnote>
  <w:footnote w:type="continuationNotice" w:id="1">
    <w:p w14:paraId="124C8BA0" w14:textId="77777777" w:rsidR="00B12D33" w:rsidRDefault="00B12D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267E" w14:textId="77777777" w:rsidR="004E4BC1" w:rsidRDefault="004E4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B2F9" w14:textId="77777777" w:rsidR="004E4BC1" w:rsidRDefault="004E4B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FAE8" w14:textId="77777777" w:rsidR="004E4BC1" w:rsidRDefault="004E4B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D0DF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0E4E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8CEE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30E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062AA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D4D6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4491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D09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18"/>
  </w:num>
  <w:num w:numId="19" w16cid:durableId="709962461">
    <w:abstractNumId w:val="18"/>
  </w:num>
  <w:num w:numId="20" w16cid:durableId="2109303273">
    <w:abstractNumId w:val="8"/>
  </w:num>
  <w:num w:numId="21" w16cid:durableId="433331489">
    <w:abstractNumId w:val="3"/>
  </w:num>
  <w:num w:numId="22" w16cid:durableId="235671139">
    <w:abstractNumId w:val="2"/>
  </w:num>
  <w:num w:numId="23" w16cid:durableId="1998269359">
    <w:abstractNumId w:val="13"/>
  </w:num>
  <w:num w:numId="24" w16cid:durableId="19340499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1D6D"/>
    <w:rsid w:val="00023C40"/>
    <w:rsid w:val="0002507D"/>
    <w:rsid w:val="0002632A"/>
    <w:rsid w:val="00033397"/>
    <w:rsid w:val="00040095"/>
    <w:rsid w:val="000418DD"/>
    <w:rsid w:val="00051A90"/>
    <w:rsid w:val="00065268"/>
    <w:rsid w:val="0007262E"/>
    <w:rsid w:val="00073C9C"/>
    <w:rsid w:val="00075D18"/>
    <w:rsid w:val="00076412"/>
    <w:rsid w:val="00080512"/>
    <w:rsid w:val="00090468"/>
    <w:rsid w:val="00094568"/>
    <w:rsid w:val="000A40C1"/>
    <w:rsid w:val="000A7EEC"/>
    <w:rsid w:val="000B7BCF"/>
    <w:rsid w:val="000C522B"/>
    <w:rsid w:val="000D14ED"/>
    <w:rsid w:val="000D3DFC"/>
    <w:rsid w:val="000D58AB"/>
    <w:rsid w:val="0011046F"/>
    <w:rsid w:val="001104DC"/>
    <w:rsid w:val="00112F1A"/>
    <w:rsid w:val="0012100F"/>
    <w:rsid w:val="00125351"/>
    <w:rsid w:val="0012610D"/>
    <w:rsid w:val="00130DCC"/>
    <w:rsid w:val="001423FB"/>
    <w:rsid w:val="00144FD3"/>
    <w:rsid w:val="00145075"/>
    <w:rsid w:val="0014781E"/>
    <w:rsid w:val="00163A64"/>
    <w:rsid w:val="001675E9"/>
    <w:rsid w:val="001704FD"/>
    <w:rsid w:val="001716F4"/>
    <w:rsid w:val="001741A0"/>
    <w:rsid w:val="00175FA0"/>
    <w:rsid w:val="0018542A"/>
    <w:rsid w:val="00194CD0"/>
    <w:rsid w:val="001961BE"/>
    <w:rsid w:val="001A1F4E"/>
    <w:rsid w:val="001B49C9"/>
    <w:rsid w:val="001C23F4"/>
    <w:rsid w:val="001C4F79"/>
    <w:rsid w:val="001D06CB"/>
    <w:rsid w:val="001E79AA"/>
    <w:rsid w:val="001E7E99"/>
    <w:rsid w:val="001F168B"/>
    <w:rsid w:val="001F7831"/>
    <w:rsid w:val="00201986"/>
    <w:rsid w:val="00204045"/>
    <w:rsid w:val="0020712B"/>
    <w:rsid w:val="002134D1"/>
    <w:rsid w:val="0021716B"/>
    <w:rsid w:val="00217467"/>
    <w:rsid w:val="0022441D"/>
    <w:rsid w:val="0022606D"/>
    <w:rsid w:val="00227C07"/>
    <w:rsid w:val="00231728"/>
    <w:rsid w:val="00244A05"/>
    <w:rsid w:val="00250404"/>
    <w:rsid w:val="00256B74"/>
    <w:rsid w:val="002610D8"/>
    <w:rsid w:val="002747EC"/>
    <w:rsid w:val="00277BFE"/>
    <w:rsid w:val="002852B7"/>
    <w:rsid w:val="002855BF"/>
    <w:rsid w:val="00290A7C"/>
    <w:rsid w:val="002B1FB6"/>
    <w:rsid w:val="002B2988"/>
    <w:rsid w:val="002B2F5D"/>
    <w:rsid w:val="002F0D22"/>
    <w:rsid w:val="002F7427"/>
    <w:rsid w:val="003015BB"/>
    <w:rsid w:val="00301894"/>
    <w:rsid w:val="0030528B"/>
    <w:rsid w:val="00311B17"/>
    <w:rsid w:val="00315FA8"/>
    <w:rsid w:val="00316D47"/>
    <w:rsid w:val="003172DC"/>
    <w:rsid w:val="00323A04"/>
    <w:rsid w:val="00325AE3"/>
    <w:rsid w:val="00326069"/>
    <w:rsid w:val="0033445F"/>
    <w:rsid w:val="00350E73"/>
    <w:rsid w:val="0035462D"/>
    <w:rsid w:val="00362A37"/>
    <w:rsid w:val="0036459E"/>
    <w:rsid w:val="00364B41"/>
    <w:rsid w:val="00365EED"/>
    <w:rsid w:val="00372DF8"/>
    <w:rsid w:val="00383096"/>
    <w:rsid w:val="0039346C"/>
    <w:rsid w:val="003A41EF"/>
    <w:rsid w:val="003A4ED8"/>
    <w:rsid w:val="003A6415"/>
    <w:rsid w:val="003B40AD"/>
    <w:rsid w:val="003B7B8D"/>
    <w:rsid w:val="003C3D6F"/>
    <w:rsid w:val="003C4E37"/>
    <w:rsid w:val="003D0EAB"/>
    <w:rsid w:val="003D0FD0"/>
    <w:rsid w:val="003D6617"/>
    <w:rsid w:val="003D6B42"/>
    <w:rsid w:val="003D76B2"/>
    <w:rsid w:val="003D7AAB"/>
    <w:rsid w:val="003E16BE"/>
    <w:rsid w:val="003F4E28"/>
    <w:rsid w:val="003F76B6"/>
    <w:rsid w:val="00400506"/>
    <w:rsid w:val="004006E8"/>
    <w:rsid w:val="00401855"/>
    <w:rsid w:val="00426F1F"/>
    <w:rsid w:val="0044697E"/>
    <w:rsid w:val="00446C3A"/>
    <w:rsid w:val="00457837"/>
    <w:rsid w:val="00465587"/>
    <w:rsid w:val="00477455"/>
    <w:rsid w:val="00483950"/>
    <w:rsid w:val="00483C46"/>
    <w:rsid w:val="004976E1"/>
    <w:rsid w:val="004A1F7B"/>
    <w:rsid w:val="004A2000"/>
    <w:rsid w:val="004B44C9"/>
    <w:rsid w:val="004B6435"/>
    <w:rsid w:val="004C44D2"/>
    <w:rsid w:val="004D2B1C"/>
    <w:rsid w:val="004D3578"/>
    <w:rsid w:val="004D380D"/>
    <w:rsid w:val="004D4599"/>
    <w:rsid w:val="004E213A"/>
    <w:rsid w:val="004E4BC1"/>
    <w:rsid w:val="004E5344"/>
    <w:rsid w:val="004E7553"/>
    <w:rsid w:val="004F4540"/>
    <w:rsid w:val="004F73A7"/>
    <w:rsid w:val="00503171"/>
    <w:rsid w:val="00505C7F"/>
    <w:rsid w:val="00506C28"/>
    <w:rsid w:val="00507B67"/>
    <w:rsid w:val="00514ED8"/>
    <w:rsid w:val="00515196"/>
    <w:rsid w:val="005223A6"/>
    <w:rsid w:val="00534DA0"/>
    <w:rsid w:val="00537809"/>
    <w:rsid w:val="00541A65"/>
    <w:rsid w:val="0054235D"/>
    <w:rsid w:val="005432D9"/>
    <w:rsid w:val="00543E6C"/>
    <w:rsid w:val="00544B78"/>
    <w:rsid w:val="0056238A"/>
    <w:rsid w:val="00565087"/>
    <w:rsid w:val="0056573F"/>
    <w:rsid w:val="00571279"/>
    <w:rsid w:val="00573250"/>
    <w:rsid w:val="00575FC5"/>
    <w:rsid w:val="005A0A04"/>
    <w:rsid w:val="005A13AB"/>
    <w:rsid w:val="005A49C6"/>
    <w:rsid w:val="005A5862"/>
    <w:rsid w:val="005C0E92"/>
    <w:rsid w:val="005C3803"/>
    <w:rsid w:val="005C766E"/>
    <w:rsid w:val="005C7CD5"/>
    <w:rsid w:val="00611566"/>
    <w:rsid w:val="00625D8E"/>
    <w:rsid w:val="006355E6"/>
    <w:rsid w:val="00646D99"/>
    <w:rsid w:val="00656910"/>
    <w:rsid w:val="006574C0"/>
    <w:rsid w:val="00670B9D"/>
    <w:rsid w:val="00674C28"/>
    <w:rsid w:val="00696821"/>
    <w:rsid w:val="006A1244"/>
    <w:rsid w:val="006A1711"/>
    <w:rsid w:val="006C66D8"/>
    <w:rsid w:val="006D1E24"/>
    <w:rsid w:val="006D35DE"/>
    <w:rsid w:val="006E1057"/>
    <w:rsid w:val="006E1417"/>
    <w:rsid w:val="006F596D"/>
    <w:rsid w:val="006F6A2C"/>
    <w:rsid w:val="007069DC"/>
    <w:rsid w:val="00710201"/>
    <w:rsid w:val="00711E5E"/>
    <w:rsid w:val="0071380B"/>
    <w:rsid w:val="0071711E"/>
    <w:rsid w:val="0072073A"/>
    <w:rsid w:val="00723B23"/>
    <w:rsid w:val="007342B5"/>
    <w:rsid w:val="00734A5B"/>
    <w:rsid w:val="00736CCD"/>
    <w:rsid w:val="00744E76"/>
    <w:rsid w:val="00746A8B"/>
    <w:rsid w:val="0074739B"/>
    <w:rsid w:val="00757D40"/>
    <w:rsid w:val="007662B5"/>
    <w:rsid w:val="00781F0F"/>
    <w:rsid w:val="00783963"/>
    <w:rsid w:val="0078727C"/>
    <w:rsid w:val="0079049D"/>
    <w:rsid w:val="00793DC5"/>
    <w:rsid w:val="00796823"/>
    <w:rsid w:val="007A2E55"/>
    <w:rsid w:val="007A6D9F"/>
    <w:rsid w:val="007B18D8"/>
    <w:rsid w:val="007B2BAF"/>
    <w:rsid w:val="007C095F"/>
    <w:rsid w:val="007C2DD0"/>
    <w:rsid w:val="007E343E"/>
    <w:rsid w:val="007F2E08"/>
    <w:rsid w:val="008024FA"/>
    <w:rsid w:val="008028A4"/>
    <w:rsid w:val="00813245"/>
    <w:rsid w:val="00840DE0"/>
    <w:rsid w:val="00844F57"/>
    <w:rsid w:val="008473E8"/>
    <w:rsid w:val="00847CD0"/>
    <w:rsid w:val="00854E19"/>
    <w:rsid w:val="008607A8"/>
    <w:rsid w:val="0086354A"/>
    <w:rsid w:val="00863D92"/>
    <w:rsid w:val="0086521B"/>
    <w:rsid w:val="008768CA"/>
    <w:rsid w:val="00877EF9"/>
    <w:rsid w:val="00880559"/>
    <w:rsid w:val="008823C0"/>
    <w:rsid w:val="00894DD4"/>
    <w:rsid w:val="008A665C"/>
    <w:rsid w:val="008B5306"/>
    <w:rsid w:val="008B549E"/>
    <w:rsid w:val="008B54E8"/>
    <w:rsid w:val="008C21AC"/>
    <w:rsid w:val="008C2E2A"/>
    <w:rsid w:val="008C3057"/>
    <w:rsid w:val="008D0C8C"/>
    <w:rsid w:val="008D2E4D"/>
    <w:rsid w:val="008D6D57"/>
    <w:rsid w:val="008E6876"/>
    <w:rsid w:val="008F12EB"/>
    <w:rsid w:val="008F396F"/>
    <w:rsid w:val="008F3DCD"/>
    <w:rsid w:val="008F7436"/>
    <w:rsid w:val="008F7E1A"/>
    <w:rsid w:val="0090271F"/>
    <w:rsid w:val="00902DB9"/>
    <w:rsid w:val="00902F73"/>
    <w:rsid w:val="0090466A"/>
    <w:rsid w:val="00905E5A"/>
    <w:rsid w:val="009076D6"/>
    <w:rsid w:val="00911F55"/>
    <w:rsid w:val="00920EC1"/>
    <w:rsid w:val="00923655"/>
    <w:rsid w:val="009248C6"/>
    <w:rsid w:val="00924967"/>
    <w:rsid w:val="009339CB"/>
    <w:rsid w:val="00936071"/>
    <w:rsid w:val="009376CD"/>
    <w:rsid w:val="00940212"/>
    <w:rsid w:val="00942EC2"/>
    <w:rsid w:val="00943179"/>
    <w:rsid w:val="00944572"/>
    <w:rsid w:val="00961B32"/>
    <w:rsid w:val="00962509"/>
    <w:rsid w:val="009667CC"/>
    <w:rsid w:val="00970DB3"/>
    <w:rsid w:val="00974BB0"/>
    <w:rsid w:val="00975BCD"/>
    <w:rsid w:val="009818A2"/>
    <w:rsid w:val="00981AD1"/>
    <w:rsid w:val="009861A5"/>
    <w:rsid w:val="009928A9"/>
    <w:rsid w:val="009A0AF3"/>
    <w:rsid w:val="009A24C2"/>
    <w:rsid w:val="009A37B0"/>
    <w:rsid w:val="009B07CD"/>
    <w:rsid w:val="009B2758"/>
    <w:rsid w:val="009C19E9"/>
    <w:rsid w:val="009C64D9"/>
    <w:rsid w:val="009C6751"/>
    <w:rsid w:val="009D4729"/>
    <w:rsid w:val="009D74A6"/>
    <w:rsid w:val="009E0E87"/>
    <w:rsid w:val="00A013F5"/>
    <w:rsid w:val="00A10F02"/>
    <w:rsid w:val="00A17176"/>
    <w:rsid w:val="00A204CA"/>
    <w:rsid w:val="00A209D6"/>
    <w:rsid w:val="00A21902"/>
    <w:rsid w:val="00A22738"/>
    <w:rsid w:val="00A253FF"/>
    <w:rsid w:val="00A266C9"/>
    <w:rsid w:val="00A320DA"/>
    <w:rsid w:val="00A357AD"/>
    <w:rsid w:val="00A36F5F"/>
    <w:rsid w:val="00A430EC"/>
    <w:rsid w:val="00A53724"/>
    <w:rsid w:val="00A54B2B"/>
    <w:rsid w:val="00A703B6"/>
    <w:rsid w:val="00A723E5"/>
    <w:rsid w:val="00A773B2"/>
    <w:rsid w:val="00A82346"/>
    <w:rsid w:val="00A87564"/>
    <w:rsid w:val="00A9671C"/>
    <w:rsid w:val="00A968F0"/>
    <w:rsid w:val="00AA1553"/>
    <w:rsid w:val="00AD7E7C"/>
    <w:rsid w:val="00AF052C"/>
    <w:rsid w:val="00B00C25"/>
    <w:rsid w:val="00B03726"/>
    <w:rsid w:val="00B05380"/>
    <w:rsid w:val="00B05962"/>
    <w:rsid w:val="00B1009C"/>
    <w:rsid w:val="00B12D33"/>
    <w:rsid w:val="00B15449"/>
    <w:rsid w:val="00B16C2F"/>
    <w:rsid w:val="00B27303"/>
    <w:rsid w:val="00B3042F"/>
    <w:rsid w:val="00B313AC"/>
    <w:rsid w:val="00B47FD1"/>
    <w:rsid w:val="00B516BB"/>
    <w:rsid w:val="00B5751D"/>
    <w:rsid w:val="00B669E9"/>
    <w:rsid w:val="00B676ED"/>
    <w:rsid w:val="00B7538C"/>
    <w:rsid w:val="00B84DB2"/>
    <w:rsid w:val="00B859D3"/>
    <w:rsid w:val="00BB5B47"/>
    <w:rsid w:val="00BC3555"/>
    <w:rsid w:val="00BE2968"/>
    <w:rsid w:val="00BF7F5E"/>
    <w:rsid w:val="00C07241"/>
    <w:rsid w:val="00C12997"/>
    <w:rsid w:val="00C12B51"/>
    <w:rsid w:val="00C13A74"/>
    <w:rsid w:val="00C15069"/>
    <w:rsid w:val="00C24650"/>
    <w:rsid w:val="00C25465"/>
    <w:rsid w:val="00C263CB"/>
    <w:rsid w:val="00C31806"/>
    <w:rsid w:val="00C33079"/>
    <w:rsid w:val="00C40F19"/>
    <w:rsid w:val="00C53A50"/>
    <w:rsid w:val="00C55A12"/>
    <w:rsid w:val="00C6553E"/>
    <w:rsid w:val="00C83A13"/>
    <w:rsid w:val="00C86F10"/>
    <w:rsid w:val="00C9068C"/>
    <w:rsid w:val="00C92967"/>
    <w:rsid w:val="00CA3D0C"/>
    <w:rsid w:val="00CA654B"/>
    <w:rsid w:val="00CB183F"/>
    <w:rsid w:val="00CB72B8"/>
    <w:rsid w:val="00CC4A6A"/>
    <w:rsid w:val="00CD0780"/>
    <w:rsid w:val="00CD0BA8"/>
    <w:rsid w:val="00CD2BBA"/>
    <w:rsid w:val="00CD4C7B"/>
    <w:rsid w:val="00CD58FE"/>
    <w:rsid w:val="00D12220"/>
    <w:rsid w:val="00D2448F"/>
    <w:rsid w:val="00D26F16"/>
    <w:rsid w:val="00D33BE3"/>
    <w:rsid w:val="00D3792D"/>
    <w:rsid w:val="00D52921"/>
    <w:rsid w:val="00D54820"/>
    <w:rsid w:val="00D55E47"/>
    <w:rsid w:val="00D61387"/>
    <w:rsid w:val="00D62E19"/>
    <w:rsid w:val="00D6524B"/>
    <w:rsid w:val="00D67CD1"/>
    <w:rsid w:val="00D738D6"/>
    <w:rsid w:val="00D7470E"/>
    <w:rsid w:val="00D80795"/>
    <w:rsid w:val="00D854BE"/>
    <w:rsid w:val="00D87E00"/>
    <w:rsid w:val="00D9134D"/>
    <w:rsid w:val="00D91C85"/>
    <w:rsid w:val="00D96D11"/>
    <w:rsid w:val="00DA1415"/>
    <w:rsid w:val="00DA7A03"/>
    <w:rsid w:val="00DB0DB8"/>
    <w:rsid w:val="00DB1818"/>
    <w:rsid w:val="00DB5F74"/>
    <w:rsid w:val="00DC309B"/>
    <w:rsid w:val="00DC4DA2"/>
    <w:rsid w:val="00DC5261"/>
    <w:rsid w:val="00DC61BF"/>
    <w:rsid w:val="00DD1222"/>
    <w:rsid w:val="00DD700E"/>
    <w:rsid w:val="00DE1907"/>
    <w:rsid w:val="00DE25D2"/>
    <w:rsid w:val="00DF6334"/>
    <w:rsid w:val="00DF7C20"/>
    <w:rsid w:val="00E038FB"/>
    <w:rsid w:val="00E05528"/>
    <w:rsid w:val="00E1239A"/>
    <w:rsid w:val="00E21B68"/>
    <w:rsid w:val="00E231CF"/>
    <w:rsid w:val="00E32055"/>
    <w:rsid w:val="00E42A2B"/>
    <w:rsid w:val="00E46C08"/>
    <w:rsid w:val="00E471CF"/>
    <w:rsid w:val="00E62835"/>
    <w:rsid w:val="00E6480E"/>
    <w:rsid w:val="00E77645"/>
    <w:rsid w:val="00E83697"/>
    <w:rsid w:val="00E859B6"/>
    <w:rsid w:val="00E862B3"/>
    <w:rsid w:val="00E91684"/>
    <w:rsid w:val="00E91ECF"/>
    <w:rsid w:val="00E971E8"/>
    <w:rsid w:val="00EA66C9"/>
    <w:rsid w:val="00EB5D32"/>
    <w:rsid w:val="00EC34CB"/>
    <w:rsid w:val="00EC4A25"/>
    <w:rsid w:val="00EC663E"/>
    <w:rsid w:val="00ED1C74"/>
    <w:rsid w:val="00EF612C"/>
    <w:rsid w:val="00F025A2"/>
    <w:rsid w:val="00F025CC"/>
    <w:rsid w:val="00F036E9"/>
    <w:rsid w:val="00F07388"/>
    <w:rsid w:val="00F154FD"/>
    <w:rsid w:val="00F2026E"/>
    <w:rsid w:val="00F2210A"/>
    <w:rsid w:val="00F30650"/>
    <w:rsid w:val="00F31372"/>
    <w:rsid w:val="00F37743"/>
    <w:rsid w:val="00F40C2F"/>
    <w:rsid w:val="00F42493"/>
    <w:rsid w:val="00F50283"/>
    <w:rsid w:val="00F54A3D"/>
    <w:rsid w:val="00F54CB0"/>
    <w:rsid w:val="00F579CD"/>
    <w:rsid w:val="00F607E2"/>
    <w:rsid w:val="00F653B8"/>
    <w:rsid w:val="00F71B89"/>
    <w:rsid w:val="00F7290D"/>
    <w:rsid w:val="00F7353C"/>
    <w:rsid w:val="00F76F8F"/>
    <w:rsid w:val="00F81093"/>
    <w:rsid w:val="00F850A5"/>
    <w:rsid w:val="00F86AF9"/>
    <w:rsid w:val="00F87048"/>
    <w:rsid w:val="00F87257"/>
    <w:rsid w:val="00F941DF"/>
    <w:rsid w:val="00FA1266"/>
    <w:rsid w:val="00FA439B"/>
    <w:rsid w:val="00FB36FA"/>
    <w:rsid w:val="00FC1192"/>
    <w:rsid w:val="00FC2363"/>
    <w:rsid w:val="00FD616E"/>
    <w:rsid w:val="00FE106D"/>
    <w:rsid w:val="00FE251B"/>
    <w:rsid w:val="00FF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EC34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EC34C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EC34CB"/>
    <w:pPr>
      <w:spacing w:after="120"/>
    </w:pPr>
    <w:rPr>
      <w:rFonts w:ascii="Arial" w:eastAsia="MS Mincho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4E4B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4BC1"/>
    <w:rPr>
      <w:rFonts w:ascii="Segoe UI" w:hAnsi="Segoe UI" w:cs="Segoe UI"/>
      <w:sz w:val="18"/>
      <w:szCs w:val="18"/>
      <w:lang w:eastAsia="en-US"/>
    </w:rPr>
  </w:style>
  <w:style w:type="paragraph" w:styleId="BlockText">
    <w:name w:val="Block Text"/>
    <w:basedOn w:val="Normal"/>
    <w:rsid w:val="004E4BC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4E4B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4BC1"/>
    <w:rPr>
      <w:lang w:eastAsia="en-US"/>
    </w:rPr>
  </w:style>
  <w:style w:type="paragraph" w:styleId="BodyText2">
    <w:name w:val="Body Text 2"/>
    <w:basedOn w:val="Normal"/>
    <w:link w:val="BodyText2Char"/>
    <w:rsid w:val="004E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E4BC1"/>
    <w:rPr>
      <w:lang w:eastAsia="en-US"/>
    </w:rPr>
  </w:style>
  <w:style w:type="paragraph" w:styleId="BodyText3">
    <w:name w:val="Body Text 3"/>
    <w:basedOn w:val="Normal"/>
    <w:link w:val="BodyText3Char"/>
    <w:rsid w:val="004E4BC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4BC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E4BC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4BC1"/>
    <w:rPr>
      <w:lang w:eastAsia="en-US"/>
    </w:rPr>
  </w:style>
  <w:style w:type="paragraph" w:styleId="BodyTextIndent">
    <w:name w:val="Body Text Indent"/>
    <w:basedOn w:val="Normal"/>
    <w:link w:val="BodyTextIndentChar"/>
    <w:rsid w:val="004E4B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E4BC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E4BC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BC1"/>
    <w:rPr>
      <w:lang w:eastAsia="en-US"/>
    </w:rPr>
  </w:style>
  <w:style w:type="paragraph" w:styleId="BodyTextIndent2">
    <w:name w:val="Body Text Indent 2"/>
    <w:basedOn w:val="Normal"/>
    <w:link w:val="BodyTextIndent2Char"/>
    <w:rsid w:val="004E4BC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E4BC1"/>
    <w:rPr>
      <w:lang w:eastAsia="en-US"/>
    </w:rPr>
  </w:style>
  <w:style w:type="paragraph" w:styleId="BodyTextIndent3">
    <w:name w:val="Body Text Indent 3"/>
    <w:basedOn w:val="Normal"/>
    <w:link w:val="BodyTextIndent3Char"/>
    <w:rsid w:val="004E4BC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4BC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E4BC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E4BC1"/>
    <w:rPr>
      <w:lang w:eastAsia="en-US"/>
    </w:rPr>
  </w:style>
  <w:style w:type="paragraph" w:styleId="Date">
    <w:name w:val="Date"/>
    <w:basedOn w:val="Normal"/>
    <w:next w:val="Normal"/>
    <w:link w:val="DateChar"/>
    <w:rsid w:val="004E4BC1"/>
  </w:style>
  <w:style w:type="character" w:customStyle="1" w:styleId="DateChar">
    <w:name w:val="Date Char"/>
    <w:basedOn w:val="DefaultParagraphFont"/>
    <w:link w:val="Date"/>
    <w:rsid w:val="004E4BC1"/>
    <w:rPr>
      <w:lang w:eastAsia="en-US"/>
    </w:rPr>
  </w:style>
  <w:style w:type="paragraph" w:styleId="DocumentMap">
    <w:name w:val="Document Map"/>
    <w:basedOn w:val="Normal"/>
    <w:link w:val="DocumentMapChar"/>
    <w:rsid w:val="004E4BC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E4BC1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E4BC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E4BC1"/>
    <w:rPr>
      <w:lang w:eastAsia="en-US"/>
    </w:rPr>
  </w:style>
  <w:style w:type="paragraph" w:styleId="EndnoteText">
    <w:name w:val="endnote text"/>
    <w:basedOn w:val="Normal"/>
    <w:link w:val="EndnoteTextChar"/>
    <w:rsid w:val="004E4BC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E4BC1"/>
    <w:rPr>
      <w:lang w:eastAsia="en-US"/>
    </w:rPr>
  </w:style>
  <w:style w:type="paragraph" w:styleId="EnvelopeAddress">
    <w:name w:val="envelope address"/>
    <w:basedOn w:val="Normal"/>
    <w:rsid w:val="004E4BC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E4BC1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4E4BC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4BC1"/>
    <w:rPr>
      <w:lang w:eastAsia="en-US"/>
    </w:rPr>
  </w:style>
  <w:style w:type="paragraph" w:styleId="FootnoteText">
    <w:name w:val="footnote text"/>
    <w:basedOn w:val="Normal"/>
    <w:link w:val="FootnoteTextChar"/>
    <w:rsid w:val="004E4BC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E4BC1"/>
    <w:rPr>
      <w:lang w:eastAsia="en-US"/>
    </w:rPr>
  </w:style>
  <w:style w:type="paragraph" w:styleId="HTMLAddress">
    <w:name w:val="HTML Address"/>
    <w:basedOn w:val="Normal"/>
    <w:link w:val="HTMLAddressChar"/>
    <w:rsid w:val="004E4BC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E4BC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E4BC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E4BC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E4BC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E4BC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E4BC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E4BC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E4BC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E4BC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E4BC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E4BC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E4BC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E4BC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BC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BC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4E4BC1"/>
    <w:pPr>
      <w:ind w:left="283" w:hanging="283"/>
      <w:contextualSpacing/>
    </w:pPr>
  </w:style>
  <w:style w:type="paragraph" w:styleId="List2">
    <w:name w:val="List 2"/>
    <w:basedOn w:val="Normal"/>
    <w:rsid w:val="004E4BC1"/>
    <w:pPr>
      <w:ind w:left="566" w:hanging="283"/>
      <w:contextualSpacing/>
    </w:pPr>
  </w:style>
  <w:style w:type="paragraph" w:styleId="List3">
    <w:name w:val="List 3"/>
    <w:basedOn w:val="Normal"/>
    <w:rsid w:val="004E4BC1"/>
    <w:pPr>
      <w:ind w:left="849" w:hanging="283"/>
      <w:contextualSpacing/>
    </w:pPr>
  </w:style>
  <w:style w:type="paragraph" w:styleId="List4">
    <w:name w:val="List 4"/>
    <w:basedOn w:val="Normal"/>
    <w:rsid w:val="004E4BC1"/>
    <w:pPr>
      <w:ind w:left="1132" w:hanging="283"/>
      <w:contextualSpacing/>
    </w:pPr>
  </w:style>
  <w:style w:type="paragraph" w:styleId="List5">
    <w:name w:val="List 5"/>
    <w:basedOn w:val="Normal"/>
    <w:rsid w:val="004E4BC1"/>
    <w:pPr>
      <w:ind w:left="1415" w:hanging="283"/>
      <w:contextualSpacing/>
    </w:pPr>
  </w:style>
  <w:style w:type="paragraph" w:styleId="ListBullet">
    <w:name w:val="List Bullet"/>
    <w:basedOn w:val="Normal"/>
    <w:rsid w:val="004E4BC1"/>
    <w:pPr>
      <w:numPr>
        <w:numId w:val="8"/>
      </w:numPr>
      <w:contextualSpacing/>
    </w:pPr>
  </w:style>
  <w:style w:type="paragraph" w:styleId="ListBullet2">
    <w:name w:val="List Bullet 2"/>
    <w:basedOn w:val="Normal"/>
    <w:rsid w:val="004E4BC1"/>
    <w:pPr>
      <w:numPr>
        <w:numId w:val="9"/>
      </w:numPr>
      <w:contextualSpacing/>
    </w:pPr>
  </w:style>
  <w:style w:type="paragraph" w:styleId="ListBullet3">
    <w:name w:val="List Bullet 3"/>
    <w:basedOn w:val="Normal"/>
    <w:rsid w:val="004E4BC1"/>
    <w:pPr>
      <w:numPr>
        <w:numId w:val="10"/>
      </w:numPr>
      <w:contextualSpacing/>
    </w:pPr>
  </w:style>
  <w:style w:type="paragraph" w:styleId="ListBullet4">
    <w:name w:val="List Bullet 4"/>
    <w:basedOn w:val="Normal"/>
    <w:rsid w:val="004E4BC1"/>
    <w:pPr>
      <w:numPr>
        <w:numId w:val="11"/>
      </w:numPr>
      <w:contextualSpacing/>
    </w:pPr>
  </w:style>
  <w:style w:type="paragraph" w:styleId="ListBullet5">
    <w:name w:val="List Bullet 5"/>
    <w:basedOn w:val="Normal"/>
    <w:rsid w:val="004E4BC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4E4BC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E4BC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E4BC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E4BC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E4BC1"/>
    <w:pPr>
      <w:spacing w:after="120"/>
      <w:ind w:left="1415"/>
      <w:contextualSpacing/>
    </w:pPr>
  </w:style>
  <w:style w:type="paragraph" w:styleId="ListNumber">
    <w:name w:val="List Number"/>
    <w:basedOn w:val="Normal"/>
    <w:rsid w:val="004E4BC1"/>
    <w:pPr>
      <w:numPr>
        <w:numId w:val="20"/>
      </w:numPr>
      <w:contextualSpacing/>
    </w:pPr>
  </w:style>
  <w:style w:type="paragraph" w:styleId="ListNumber2">
    <w:name w:val="List Number 2"/>
    <w:basedOn w:val="Normal"/>
    <w:rsid w:val="004E4BC1"/>
    <w:pPr>
      <w:numPr>
        <w:numId w:val="21"/>
      </w:numPr>
      <w:contextualSpacing/>
    </w:pPr>
  </w:style>
  <w:style w:type="paragraph" w:styleId="ListNumber3">
    <w:name w:val="List Number 3"/>
    <w:basedOn w:val="Normal"/>
    <w:rsid w:val="004E4BC1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E4BC1"/>
    <w:pPr>
      <w:ind w:left="720"/>
      <w:contextualSpacing/>
    </w:pPr>
  </w:style>
  <w:style w:type="paragraph" w:styleId="MessageHeader">
    <w:name w:val="Message Header"/>
    <w:basedOn w:val="Normal"/>
    <w:link w:val="MessageHeaderChar"/>
    <w:rsid w:val="004E4B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4BC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E4BC1"/>
    <w:rPr>
      <w:lang w:eastAsia="en-US"/>
    </w:rPr>
  </w:style>
  <w:style w:type="paragraph" w:styleId="NormalWeb">
    <w:name w:val="Normal (Web)"/>
    <w:basedOn w:val="Normal"/>
    <w:rsid w:val="004E4BC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4E4BC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4BC1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E4BC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E4BC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E4BC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E4BC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E4BC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E4BC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E4BC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basedOn w:val="DefaultParagraphFont"/>
    <w:rsid w:val="00350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31/Docs/R2-2506565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32/Docs/R2-2508008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RBI5PAMIO524-1616901215-61285</_dlc_DocId>
    <_dlc_DocIdUrl xmlns="71c5aaf6-e6ce-465b-b873-5148d2a4c105">
      <Url>https://nokia.sharepoint.com/sites/gxp/_layouts/15/DocIdRedir.aspx?ID=RBI5PAMIO524-1616901215-61285</Url>
      <Description>RBI5PAMIO524-1616901215-61285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A5785-1B59-41D2-9825-9C68726B3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3f2ce089-3858-4176-9a21-a30f9204848e"/>
    <ds:schemaRef ds:uri="http://schemas.openxmlformats.org/package/2006/metadata/core-properties"/>
    <ds:schemaRef ds:uri="http://purl.org/dc/elements/1.1/"/>
    <ds:schemaRef ds:uri="http://purl.org/dc/terms/"/>
    <ds:schemaRef ds:uri="71c5aaf6-e6ce-465b-b873-5148d2a4c105"/>
    <ds:schemaRef ds:uri="http://www.w3.org/XML/1998/namespace"/>
    <ds:schemaRef ds:uri="7275bb01-7583-478d-bc14-e839a2dd5989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Andrew Lappalainen (Nokia)</cp:lastModifiedBy>
  <cp:revision>3</cp:revision>
  <dcterms:created xsi:type="dcterms:W3CDTF">2025-11-06T22:00:00Z</dcterms:created>
  <dcterms:modified xsi:type="dcterms:W3CDTF">2025-11-06T22:32:00Z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59243cb9-9f56-488f-8da3-20645b9352df</vt:lpwstr>
  </property>
</Properties>
</file>